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4A2A4F"/>
          <w:spacing w:val="30"/>
          <w:sz w:val="17"/>
          <w:szCs w:val="17"/>
        </w:rPr>
        <w:t xml:space="preserve">FOR PASTORS AND GROUP LEADERS</w:t>
      </w:r>
    </w:p>
    <w:p>
      <w:pPr>
        <w:pStyle w:val="Heading1"/>
      </w:pPr>
      <w:r>
        <w:t xml:space="preserve">From Aleph to Tav: Twenty-two days in Revelation</w:t>
      </w:r>
    </w:p>
    <w:p>
      <w:pPr>
        <w:spacing w:after="90" w:line="264"/>
      </w:pPr>
      <w:r>
        <w:rPr>
          <w:i/>
          <w:iCs/>
          <w:color w:val="6A716B"/>
        </w:rPr>
        <w:t xml:space="preserve">For people who have been afraid of the last book of the Bible.</w:t>
      </w:r>
    </w:p>
    <w:p>
      <w:pPr>
        <w:spacing w:after="90" w:line="264"/>
      </w:pPr>
      <w:r>
        <w:t xml:space="preserve">Many churches avoid Revelation because it divides people or frightens them. This free study walks through all twenty-two chapters, one chapter a day, with one Hebrew letter as a companion for each day. It reads Revelation as a portrait of Jesus rather than a timeline. The first words Jesus speaks after John falls are “Do not be afraid,” and the book ends with its last invitation, “Come.”</w:t>
      </w:r>
    </w:p>
    <w:p>
      <w:pPr>
        <w:pStyle w:val="Heading2"/>
      </w:pPr>
      <w:r>
        <w:t xml:space="preserve">What your people get</w:t>
      </w:r>
    </w:p>
    <w:p>
      <w:pPr>
        <w:pStyle w:val="ListParagraph"/>
        <w:numPr>
          <w:ilvl w:val="0"/>
          <w:numId w:val="2"/>
        </w:numPr>
        <w:spacing w:after="70" w:line="264"/>
      </w:pPr>
      <w:r>
        <w:t xml:space="preserve">About fifteen minutes a day: a verse, an opening thought, a note on the Hebrew letter, the Revelation chapter, a Gospel reading, one question, and a Day Anchor with one question, one action, and one prayer.</w:t>
      </w:r>
    </w:p>
    <w:p>
      <w:pPr>
        <w:pStyle w:val="ListParagraph"/>
        <w:numPr>
          <w:ilvl w:val="0"/>
          <w:numId w:val="2"/>
        </w:numPr>
        <w:spacing w:after="70" w:line="264"/>
      </w:pPr>
      <w:r>
        <w:t>Free on a phone in English, Spanish, and Haitian Creole. After the first online visit, the app and stored study passages remain available without a connection.</w:t>
      </w:r>
    </w:p>
    <w:p>
      <w:pPr>
        <w:pStyle w:val="ListParagraph"/>
        <w:numPr>
          <w:ilvl w:val="0"/>
          <w:numId w:val="2"/>
        </w:numPr>
        <w:spacing w:after="70" w:line="264"/>
      </w:pPr>
      <w:r>
        <w:t xml:space="preserve">Reflections stay on each person’s device. Nothing is collected.</w:t>
      </w:r>
    </w:p>
    <w:p>
      <w:pPr>
        <w:pStyle w:val="Heading2"/>
      </w:pPr>
      <w:r>
        <w:t xml:space="preserve">How to run it with a group</w:t>
      </w:r>
    </w:p>
    <w:p>
      <w:pPr>
        <w:pStyle w:val="ListParagraph"/>
        <w:numPr>
          <w:ilvl w:val="0"/>
          <w:numId w:val="2"/>
        </w:numPr>
        <w:spacing w:after="70" w:line="264"/>
      </w:pPr>
      <w:r>
        <w:t xml:space="preserve">Each person reads the day on their own. Meet once a week, or at the end of each of the study’s five phases, and talk through the “Talk it over” questions.</w:t>
      </w:r>
    </w:p>
    <w:p>
      <w:pPr>
        <w:pStyle w:val="ListParagraph"/>
        <w:numPr>
          <w:ilvl w:val="0"/>
          <w:numId w:val="2"/>
        </w:numPr>
        <w:spacing w:after="70" w:line="264"/>
      </w:pPr>
      <w:r>
        <w:rPr>
          <w:b/>
          <w:bCs/>
        </w:rPr>
        <w:t xml:space="preserve">Agree on one ground rule at the start:</w:t>
      </w:r>
      <w:r>
        <w:t xml:space="preserve"> the group is there to meet Jesus in the book, not to settle the timeline. Christians disagree about the thousand years, and the study says so.</w:t>
      </w:r>
    </w:p>
    <w:p>
      <w:pPr>
        <w:pStyle w:val="ListParagraph"/>
        <w:numPr>
          <w:ilvl w:val="0"/>
          <w:numId w:val="2"/>
        </w:numPr>
        <w:spacing w:after="70" w:line="264"/>
      </w:pPr>
      <w:r>
        <w:t xml:space="preserve">No one has to answer any question. Do not press anyone to share personal struggles, and keep what is shared confidential. If someone says something that suggests they or another person may be in danger, help them reach a pastor, a doctor, or emergency services.</w:t>
      </w:r>
    </w:p>
    <w:p>
      <w:pPr>
        <w:pStyle w:val="ListParagraph"/>
        <w:numPr>
          <w:ilvl w:val="0"/>
          <w:numId w:val="2"/>
        </w:numPr>
        <w:spacing w:after="70" w:line="264"/>
      </w:pPr>
      <w:r>
        <w:t xml:space="preserve">Some people were taught this book as a threat. Before Days 9 and 16, the study tells readers that these chapters give us no warrant to interpret a personal illness, bereavement, or hardship as one of these judgments. Give that same care in your group.</w:t>
      </w:r>
    </w:p>
    <w:p>
      <w:pPr>
        <w:pStyle w:val="Heading2"/>
      </w:pPr>
      <w:r>
        <w:t xml:space="preserve">An Advent option</w:t>
      </w:r>
    </w:p>
    <w:p>
      <w:pPr>
        <w:spacing w:after="90" w:line="264"/>
      </w:pPr>
      <w:r>
        <w:t xml:space="preserve">December 3 through December 24 is exactly twenty-two days. Start on December 3 and your group finishes on Christmas Eve with the Bible’s last word: “Come, Lord Jesus.”</w:t>
      </w:r>
    </w:p>
    <w:p>
      <w:pPr>
        <w:pStyle w:val="Heading2"/>
      </w:pPr>
      <w:r>
        <w:t xml:space="preserve">The five phases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300"/>
        <w:gridCol w:w="2700"/>
        <w:gridCol w:w="5720"/>
      </w:tblGrid>
      <w:tr>
        <w:trPr>
          <w:tblHeader/>
        </w:trPr>
        <w:tc>
          <w:tcPr>
            <w:tcW w:type="dxa" w:w="1300"/>
            <w:shd w:fill="E9E4EE" w:color="auto" w:val="clear"/>
            <w:tcMar>
              <w:top w:type="dxa" w:w="70"/>
              <w:left w:type="dxa" w:w="100"/>
              <w:bottom w:type="dxa" w:w="70"/>
              <w:right w:type="dxa" w:w="100"/>
            </w:tcMar>
          </w:tcPr>
          <w:p>
            <w:r>
              <w:rPr>
                <w:b/>
                <w:bCs/>
                <w:sz w:val="19"/>
                <w:szCs w:val="19"/>
              </w:rPr>
              <w:t xml:space="preserve">Days</w:t>
            </w:r>
          </w:p>
        </w:tc>
        <w:tc>
          <w:tcPr>
            <w:tcW w:type="dxa" w:w="2700"/>
            <w:shd w:fill="E9E4EE" w:color="auto" w:val="clear"/>
            <w:tcMar>
              <w:top w:type="dxa" w:w="70"/>
              <w:left w:type="dxa" w:w="100"/>
              <w:bottom w:type="dxa" w:w="70"/>
              <w:right w:type="dxa" w:w="100"/>
            </w:tcMar>
          </w:tcPr>
          <w:p>
            <w:r>
              <w:rPr>
                <w:b/>
                <w:bCs/>
                <w:sz w:val="19"/>
                <w:szCs w:val="19"/>
              </w:rPr>
              <w:t xml:space="preserve">Phase</w:t>
            </w:r>
          </w:p>
        </w:tc>
        <w:tc>
          <w:tcPr>
            <w:tcW w:type="dxa" w:w="5720"/>
            <w:shd w:fill="E9E4EE" w:color="auto" w:val="clear"/>
            <w:tcMar>
              <w:top w:type="dxa" w:w="70"/>
              <w:left w:type="dxa" w:w="100"/>
              <w:bottom w:type="dxa" w:w="70"/>
              <w:right w:type="dxa" w:w="100"/>
            </w:tcMar>
          </w:tcPr>
          <w:p>
            <w:r>
              <w:rPr>
                <w:b/>
                <w:bCs/>
                <w:sz w:val="19"/>
                <w:szCs w:val="19"/>
              </w:rPr>
              <w:t xml:space="preserve">Theme</w:t>
            </w:r>
          </w:p>
        </w:tc>
      </w:tr>
      <w:tr>
        <w:tc>
          <w:tcPr>
            <w:tcW w:type="dxa" w:w="1300"/>
            <w:tcMar>
              <w:top w:type="dxa" w:w="70"/>
              <w:left w:type="dxa" w:w="100"/>
              <w:bottom w:type="dxa" w:w="70"/>
              <w:right w:type="dxa" w:w="100"/>
            </w:tcMar>
          </w:tcPr>
          <w:p>
            <w:r>
              <w:rPr>
                <w:b w:val="false"/>
                <w:bCs w:val="false"/>
                <w:sz w:val="19"/>
                <w:szCs w:val="19"/>
              </w:rPr>
              <w:t xml:space="preserve">1–5</w:t>
            </w:r>
          </w:p>
        </w:tc>
        <w:tc>
          <w:tcPr>
            <w:tcW w:type="dxa" w:w="2700"/>
            <w:tcMar>
              <w:top w:type="dxa" w:w="70"/>
              <w:left w:type="dxa" w:w="100"/>
              <w:bottom w:type="dxa" w:w="70"/>
              <w:right w:type="dxa" w:w="100"/>
            </w:tcMar>
          </w:tcPr>
          <w:p>
            <w:r>
              <w:rPr>
                <w:b w:val="false"/>
                <w:bCs w:val="false"/>
                <w:sz w:val="19"/>
                <w:szCs w:val="19"/>
              </w:rPr>
              <w:t xml:space="preserve">Foundations of Unity</w:t>
            </w:r>
          </w:p>
        </w:tc>
        <w:tc>
          <w:tcPr>
            <w:tcW w:type="dxa" w:w="5720"/>
            <w:tcMar>
              <w:top w:type="dxa" w:w="70"/>
              <w:left w:type="dxa" w:w="100"/>
              <w:bottom w:type="dxa" w:w="70"/>
              <w:right w:type="dxa" w:w="100"/>
            </w:tcMar>
          </w:tcPr>
          <w:p>
            <w:r>
              <w:rPr>
                <w:b w:val="false"/>
                <w:bCs w:val="false"/>
                <w:sz w:val="19"/>
                <w:szCs w:val="19"/>
              </w:rPr>
              <w:t xml:space="preserve">Presence, belonging, grace, steadiness, worship</w:t>
            </w:r>
          </w:p>
        </w:tc>
      </w:tr>
      <w:tr>
        <w:tc>
          <w:tcPr>
            <w:tcW w:type="dxa" w:w="1300"/>
            <w:tcMar>
              <w:top w:type="dxa" w:w="70"/>
              <w:left w:type="dxa" w:w="100"/>
              <w:bottom w:type="dxa" w:w="70"/>
              <w:right w:type="dxa" w:w="100"/>
            </w:tcMar>
          </w:tcPr>
          <w:p>
            <w:r>
              <w:rPr>
                <w:b w:val="false"/>
                <w:bCs w:val="false"/>
                <w:sz w:val="19"/>
                <w:szCs w:val="19"/>
              </w:rPr>
              <w:t xml:space="preserve">6–9</w:t>
            </w:r>
          </w:p>
        </w:tc>
        <w:tc>
          <w:tcPr>
            <w:tcW w:type="dxa" w:w="2700"/>
            <w:tcMar>
              <w:top w:type="dxa" w:w="70"/>
              <w:left w:type="dxa" w:w="100"/>
              <w:bottom w:type="dxa" w:w="70"/>
              <w:right w:type="dxa" w:w="100"/>
            </w:tcMar>
          </w:tcPr>
          <w:p>
            <w:r>
              <w:rPr>
                <w:b w:val="false"/>
                <w:bCs w:val="false"/>
                <w:sz w:val="19"/>
                <w:szCs w:val="19"/>
              </w:rPr>
              <w:t xml:space="preserve">Healing Divides</w:t>
            </w:r>
          </w:p>
        </w:tc>
        <w:tc>
          <w:tcPr>
            <w:tcW w:type="dxa" w:w="5720"/>
            <w:tcMar>
              <w:top w:type="dxa" w:w="70"/>
              <w:left w:type="dxa" w:w="100"/>
              <w:bottom w:type="dxa" w:w="70"/>
              <w:right w:type="dxa" w:w="100"/>
            </w:tcMar>
          </w:tcPr>
          <w:p>
            <w:r>
              <w:rPr>
                <w:b w:val="false"/>
                <w:bCs w:val="false"/>
                <w:sz w:val="19"/>
                <w:szCs w:val="19"/>
              </w:rPr>
              <w:t xml:space="preserve">The hard chapters, and the God who holds</w:t>
            </w:r>
          </w:p>
        </w:tc>
      </w:tr>
      <w:tr>
        <w:tc>
          <w:tcPr>
            <w:tcW w:type="dxa" w:w="1300"/>
            <w:tcMar>
              <w:top w:type="dxa" w:w="70"/>
              <w:left w:type="dxa" w:w="100"/>
              <w:bottom w:type="dxa" w:w="70"/>
              <w:right w:type="dxa" w:w="100"/>
            </w:tcMar>
          </w:tcPr>
          <w:p>
            <w:r>
              <w:rPr>
                <w:b w:val="false"/>
                <w:bCs w:val="false"/>
                <w:sz w:val="19"/>
                <w:szCs w:val="19"/>
              </w:rPr>
              <w:t xml:space="preserve">10–15</w:t>
            </w:r>
          </w:p>
        </w:tc>
        <w:tc>
          <w:tcPr>
            <w:tcW w:type="dxa" w:w="2700"/>
            <w:tcMar>
              <w:top w:type="dxa" w:w="70"/>
              <w:left w:type="dxa" w:w="100"/>
              <w:bottom w:type="dxa" w:w="70"/>
              <w:right w:type="dxa" w:w="100"/>
            </w:tcMar>
          </w:tcPr>
          <w:p>
            <w:r>
              <w:rPr>
                <w:b w:val="false"/>
                <w:bCs w:val="false"/>
                <w:sz w:val="19"/>
                <w:szCs w:val="19"/>
              </w:rPr>
              <w:t xml:space="preserve">Walking Together</w:t>
            </w:r>
          </w:p>
        </w:tc>
        <w:tc>
          <w:tcPr>
            <w:tcW w:type="dxa" w:w="5720"/>
            <w:tcMar>
              <w:top w:type="dxa" w:w="70"/>
              <w:left w:type="dxa" w:w="100"/>
              <w:bottom w:type="dxa" w:w="70"/>
              <w:right w:type="dxa" w:w="100"/>
            </w:tcMar>
          </w:tcPr>
          <w:p>
            <w:r>
              <w:rPr>
                <w:b w:val="false"/>
                <w:bCs w:val="false"/>
                <w:sz w:val="19"/>
                <w:szCs w:val="19"/>
              </w:rPr>
              <w:t xml:space="preserve">From watching to serving</w:t>
            </w:r>
          </w:p>
        </w:tc>
      </w:tr>
      <w:tr>
        <w:tc>
          <w:tcPr>
            <w:tcW w:type="dxa" w:w="1300"/>
            <w:tcMar>
              <w:top w:type="dxa" w:w="70"/>
              <w:left w:type="dxa" w:w="100"/>
              <w:bottom w:type="dxa" w:w="70"/>
              <w:right w:type="dxa" w:w="100"/>
            </w:tcMar>
          </w:tcPr>
          <w:p>
            <w:r>
              <w:rPr>
                <w:b w:val="false"/>
                <w:bCs w:val="false"/>
                <w:sz w:val="19"/>
                <w:szCs w:val="19"/>
              </w:rPr>
              <w:t xml:space="preserve">16–19</w:t>
            </w:r>
          </w:p>
        </w:tc>
        <w:tc>
          <w:tcPr>
            <w:tcW w:type="dxa" w:w="2700"/>
            <w:tcMar>
              <w:top w:type="dxa" w:w="70"/>
              <w:left w:type="dxa" w:w="100"/>
              <w:bottom w:type="dxa" w:w="70"/>
              <w:right w:type="dxa" w:w="100"/>
            </w:tcMar>
          </w:tcPr>
          <w:p>
            <w:r>
              <w:rPr>
                <w:b w:val="false"/>
                <w:bCs w:val="false"/>
                <w:sz w:val="19"/>
                <w:szCs w:val="19"/>
              </w:rPr>
              <w:t xml:space="preserve">Bearing Fruit</w:t>
            </w:r>
          </w:p>
        </w:tc>
        <w:tc>
          <w:tcPr>
            <w:tcW w:type="dxa" w:w="5720"/>
            <w:tcMar>
              <w:top w:type="dxa" w:w="70"/>
              <w:left w:type="dxa" w:w="100"/>
              <w:bottom w:type="dxa" w:w="70"/>
              <w:right w:type="dxa" w:w="100"/>
            </w:tcMar>
          </w:tcPr>
          <w:p>
            <w:r>
              <w:rPr>
                <w:b w:val="false"/>
                <w:bCs w:val="false"/>
                <w:sz w:val="19"/>
                <w:szCs w:val="19"/>
              </w:rPr>
              <w:t xml:space="preserve">Living honestly while Babylon falls</w:t>
            </w:r>
          </w:p>
        </w:tc>
      </w:tr>
      <w:tr>
        <w:tc>
          <w:tcPr>
            <w:tcW w:type="dxa" w:w="1300"/>
            <w:tcMar>
              <w:top w:type="dxa" w:w="70"/>
              <w:left w:type="dxa" w:w="100"/>
              <w:bottom w:type="dxa" w:w="70"/>
              <w:right w:type="dxa" w:w="100"/>
            </w:tcMar>
          </w:tcPr>
          <w:p>
            <w:r>
              <w:rPr>
                <w:b w:val="false"/>
                <w:bCs w:val="false"/>
                <w:sz w:val="19"/>
                <w:szCs w:val="19"/>
              </w:rPr>
              <w:t xml:space="preserve">20–22</w:t>
            </w:r>
          </w:p>
        </w:tc>
        <w:tc>
          <w:tcPr>
            <w:tcW w:type="dxa" w:w="2700"/>
            <w:tcMar>
              <w:top w:type="dxa" w:w="70"/>
              <w:left w:type="dxa" w:w="100"/>
              <w:bottom w:type="dxa" w:w="70"/>
              <w:right w:type="dxa" w:w="100"/>
            </w:tcMar>
          </w:tcPr>
          <w:p>
            <w:r>
              <w:rPr>
                <w:b w:val="false"/>
                <w:bCs w:val="false"/>
                <w:sz w:val="19"/>
                <w:szCs w:val="19"/>
              </w:rPr>
              <w:t xml:space="preserve">Fulfillment in Christ</w:t>
            </w:r>
          </w:p>
        </w:tc>
        <w:tc>
          <w:tcPr>
            <w:tcW w:type="dxa" w:w="5720"/>
            <w:tcMar>
              <w:top w:type="dxa" w:w="70"/>
              <w:left w:type="dxa" w:w="100"/>
              <w:bottom w:type="dxa" w:w="70"/>
              <w:right w:type="dxa" w:w="100"/>
            </w:tcMar>
          </w:tcPr>
          <w:p>
            <w:r>
              <w:rPr>
                <w:b w:val="false"/>
                <w:bCs w:val="false"/>
                <w:sz w:val="19"/>
                <w:szCs w:val="19"/>
              </w:rPr>
              <w:t xml:space="preserve">Reigning by bowing, and coming home</w:t>
            </w:r>
          </w:p>
        </w:tc>
      </w:tr>
    </w:tbl>
    <w:p>
      <w:pPr>
        <w:pStyle w:val="Heading2"/>
      </w:pPr>
      <w:r>
        <w:t xml:space="preserve">Where to find it</w:t>
      </w:r>
    </w:p>
    <w:p>
      <w:pPr>
        <w:spacing w:after="90" w:line="264"/>
        <w:jc w:val="center"/>
      </w:pPr>
      <w:r>
        <w:t xml:space="preserve">Open </w:t>
      </w:r>
      <w:hyperlink r:id="rId10">
        <w:r>
          <w:rPr>
            <w:color w:val="0563C1"/>
            <w:u w:val="single"/>
          </w:rPr>
          <w:t>gmscharity.org/bible-studies/</w:t>
        </w:r>
      </w:hyperlink>
      <w:r>
        <w:t xml:space="preserve"> or scan:</w:t>
        <w:br/>
      </w: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75488" cy="475488"/>
                    </a:xfrm>
                    <a:prstGeom prst="rect"/>
                  </pic:spPr>
                </pic:pic>
              </a:graphicData>
            </a:graphic>
          </wp:inline>
        </w:drawing>
      </w:r>
    </w:p>
    <w:sectPr>
      <w:headerReference w:type="default" r:id="rId7"/>
      <w:footerReference w:type="default" r:id="rId8"/>
      <w:pgSz w:w="12240" w:h="15840" w:orient="portrait"/>
      <w:pgMar w:top="900" w:right="1200" w:bottom="9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A716B"/>
        <w:sz w:val="16"/>
        <w:szCs w:val="16"/>
      </w:rPr>
      <w:t xml:space="preserve">Global Mission Support · gmscharity.org · Page </w:t>
    </w:r>
    <w:r>
      <w:rPr>
        <w:color w:val="6A71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t>Pastor 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0"/>
      <w:outlineLvl w:val="0"/>
    </w:pPr>
    <w:rPr>
      <w:rFonts w:ascii="Arial" w:cs="Arial" w:eastAsia="Arial" w:hAnsi="Arial"/>
      <w:b/>
      <w:bCs/>
      <w:color w:val="1F3A5F"/>
      <w:sz w:val="32"/>
      <w:szCs w:val="32"/>
    </w:rPr>
  </w:style>
  <w:style w:type="paragraph" w:styleId="Heading2">
    <w:name w:val="Heading 2"/>
    <w:basedOn w:val="Normal"/>
    <w:next w:val="Normal"/>
    <w:qFormat/>
    <w:pPr>
      <w:spacing w:after="80" w:before="220"/>
      <w:outlineLvl w:val="1"/>
    </w:pPr>
    <w:rPr>
      <w:rFonts w:ascii="Arial" w:cs="Arial" w:eastAsia="Arial" w:hAnsi="Arial"/>
      <w:b/>
      <w:bCs/>
      <w:color w:val="1F3A5F"/>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hyperlink" Target="https://gmscharity.org/bible-studies/" TargetMode="External"/><Relationship Id="rId1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Aleph to Tav — Pastor and Group Leader One-Pager</dc:title>
  <dc:creator>J. A. Tomlinson</dc:creator>
  <cp:lastModifiedBy>Un-named</cp:lastModifiedBy>
  <cp:revision>1</cp:revision>
  <dcterms:created xsi:type="dcterms:W3CDTF">2026-09-23T11:13:57.639Z</dcterms:created>
  <dcterms:modified xsi:type="dcterms:W3CDTF">2026-09-23T11:13:57.639Z</dcterms:modified>
  <dc:subject>Pastor and group leader overview for From Aleph to Tav</dc:subject>
</cp:coreProperties>
</file>

<file path=docProps/custom.xml><?xml version="1.0" encoding="utf-8"?>
<Properties xmlns="http://schemas.openxmlformats.org/officeDocument/2006/custom-properties" xmlns:vt="http://schemas.openxmlformats.org/officeDocument/2006/docPropsVTypes"/>
</file>